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DE" w:rsidRDefault="002A79DE" w:rsidP="009B2B04">
      <w:r>
        <w:separator/>
      </w:r>
    </w:p>
  </w:endnote>
  <w:endnote w:type="continuationSeparator" w:id="0">
    <w:p w:rsidR="002A79DE" w:rsidRDefault="002A79DE" w:rsidP="009B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DE" w:rsidRDefault="002A79DE" w:rsidP="009B2B04">
      <w:r>
        <w:separator/>
      </w:r>
    </w:p>
  </w:footnote>
  <w:footnote w:type="continuationSeparator" w:id="0">
    <w:p w:rsidR="002A79DE" w:rsidRDefault="002A79DE" w:rsidP="009B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23"/>
    <w:rsid w:val="000052C8"/>
    <w:rsid w:val="00027279"/>
    <w:rsid w:val="00027C99"/>
    <w:rsid w:val="00033542"/>
    <w:rsid w:val="00040187"/>
    <w:rsid w:val="0005167A"/>
    <w:rsid w:val="00061F89"/>
    <w:rsid w:val="00062639"/>
    <w:rsid w:val="00074752"/>
    <w:rsid w:val="00096D6F"/>
    <w:rsid w:val="000A56F2"/>
    <w:rsid w:val="000C0C52"/>
    <w:rsid w:val="000E0570"/>
    <w:rsid w:val="000E2000"/>
    <w:rsid w:val="000F4F25"/>
    <w:rsid w:val="001214C9"/>
    <w:rsid w:val="00143F63"/>
    <w:rsid w:val="0015269A"/>
    <w:rsid w:val="00176D16"/>
    <w:rsid w:val="001860E4"/>
    <w:rsid w:val="00191DFC"/>
    <w:rsid w:val="00196872"/>
    <w:rsid w:val="001979E7"/>
    <w:rsid w:val="001A24E8"/>
    <w:rsid w:val="00214E02"/>
    <w:rsid w:val="00226FB0"/>
    <w:rsid w:val="00265FCB"/>
    <w:rsid w:val="0027013F"/>
    <w:rsid w:val="00270645"/>
    <w:rsid w:val="002A79DE"/>
    <w:rsid w:val="002E4337"/>
    <w:rsid w:val="002E6432"/>
    <w:rsid w:val="002F2ED3"/>
    <w:rsid w:val="00303B42"/>
    <w:rsid w:val="00310588"/>
    <w:rsid w:val="003361F4"/>
    <w:rsid w:val="0035341D"/>
    <w:rsid w:val="003547A0"/>
    <w:rsid w:val="00383D1D"/>
    <w:rsid w:val="0039113C"/>
    <w:rsid w:val="003B6179"/>
    <w:rsid w:val="003C7F89"/>
    <w:rsid w:val="003D4BA4"/>
    <w:rsid w:val="00402433"/>
    <w:rsid w:val="00402591"/>
    <w:rsid w:val="00415824"/>
    <w:rsid w:val="0043111B"/>
    <w:rsid w:val="004651DC"/>
    <w:rsid w:val="004B4602"/>
    <w:rsid w:val="004E6981"/>
    <w:rsid w:val="004E6A85"/>
    <w:rsid w:val="004F3BCB"/>
    <w:rsid w:val="004F42F3"/>
    <w:rsid w:val="004F6787"/>
    <w:rsid w:val="00531955"/>
    <w:rsid w:val="00551F6D"/>
    <w:rsid w:val="00557E61"/>
    <w:rsid w:val="0056005E"/>
    <w:rsid w:val="005D546C"/>
    <w:rsid w:val="005D6C84"/>
    <w:rsid w:val="005E0C39"/>
    <w:rsid w:val="005E4735"/>
    <w:rsid w:val="005E71CC"/>
    <w:rsid w:val="00606F04"/>
    <w:rsid w:val="006079AE"/>
    <w:rsid w:val="006138D6"/>
    <w:rsid w:val="00632ED9"/>
    <w:rsid w:val="006824F7"/>
    <w:rsid w:val="00687DD3"/>
    <w:rsid w:val="006916A6"/>
    <w:rsid w:val="006A2A18"/>
    <w:rsid w:val="006A45D6"/>
    <w:rsid w:val="00705B23"/>
    <w:rsid w:val="007205F0"/>
    <w:rsid w:val="00727D6E"/>
    <w:rsid w:val="00761BD9"/>
    <w:rsid w:val="00766D23"/>
    <w:rsid w:val="00787C5F"/>
    <w:rsid w:val="00792F66"/>
    <w:rsid w:val="00792FF3"/>
    <w:rsid w:val="007C4A81"/>
    <w:rsid w:val="007D6A2D"/>
    <w:rsid w:val="007F0770"/>
    <w:rsid w:val="008241BE"/>
    <w:rsid w:val="00835D3F"/>
    <w:rsid w:val="0087213E"/>
    <w:rsid w:val="008868C5"/>
    <w:rsid w:val="008948BB"/>
    <w:rsid w:val="008C6DCE"/>
    <w:rsid w:val="008F5EE8"/>
    <w:rsid w:val="008F5F35"/>
    <w:rsid w:val="00906292"/>
    <w:rsid w:val="009077DF"/>
    <w:rsid w:val="00911F73"/>
    <w:rsid w:val="00917CF6"/>
    <w:rsid w:val="00925379"/>
    <w:rsid w:val="00941792"/>
    <w:rsid w:val="009454A5"/>
    <w:rsid w:val="00947255"/>
    <w:rsid w:val="00951B9E"/>
    <w:rsid w:val="009545E8"/>
    <w:rsid w:val="00967284"/>
    <w:rsid w:val="00992A48"/>
    <w:rsid w:val="00996500"/>
    <w:rsid w:val="009A2F76"/>
    <w:rsid w:val="009B2B04"/>
    <w:rsid w:val="009C0E01"/>
    <w:rsid w:val="009E097A"/>
    <w:rsid w:val="009E752D"/>
    <w:rsid w:val="00A12AC1"/>
    <w:rsid w:val="00A24FBC"/>
    <w:rsid w:val="00A42B1A"/>
    <w:rsid w:val="00A510EB"/>
    <w:rsid w:val="00A56A55"/>
    <w:rsid w:val="00A638B3"/>
    <w:rsid w:val="00A72BDC"/>
    <w:rsid w:val="00A908A3"/>
    <w:rsid w:val="00A9790F"/>
    <w:rsid w:val="00AA533F"/>
    <w:rsid w:val="00AC38F4"/>
    <w:rsid w:val="00AC53FB"/>
    <w:rsid w:val="00AC68B9"/>
    <w:rsid w:val="00AE316E"/>
    <w:rsid w:val="00AE626D"/>
    <w:rsid w:val="00AF79DE"/>
    <w:rsid w:val="00B00F71"/>
    <w:rsid w:val="00B0229E"/>
    <w:rsid w:val="00B1388F"/>
    <w:rsid w:val="00B208E8"/>
    <w:rsid w:val="00B300CC"/>
    <w:rsid w:val="00B416A2"/>
    <w:rsid w:val="00B44A6D"/>
    <w:rsid w:val="00B513B7"/>
    <w:rsid w:val="00B7523D"/>
    <w:rsid w:val="00B80C06"/>
    <w:rsid w:val="00B81A89"/>
    <w:rsid w:val="00B82AC0"/>
    <w:rsid w:val="00B91AA5"/>
    <w:rsid w:val="00B94709"/>
    <w:rsid w:val="00BA18E4"/>
    <w:rsid w:val="00BA5089"/>
    <w:rsid w:val="00BC284B"/>
    <w:rsid w:val="00BC596D"/>
    <w:rsid w:val="00BE2E3D"/>
    <w:rsid w:val="00BE603B"/>
    <w:rsid w:val="00C02A20"/>
    <w:rsid w:val="00C06FDC"/>
    <w:rsid w:val="00C0795C"/>
    <w:rsid w:val="00C5143D"/>
    <w:rsid w:val="00C6083F"/>
    <w:rsid w:val="00C66942"/>
    <w:rsid w:val="00C70827"/>
    <w:rsid w:val="00C84AB4"/>
    <w:rsid w:val="00C91C57"/>
    <w:rsid w:val="00CA0C8A"/>
    <w:rsid w:val="00CA68BB"/>
    <w:rsid w:val="00CB5C93"/>
    <w:rsid w:val="00CF346F"/>
    <w:rsid w:val="00D13CC5"/>
    <w:rsid w:val="00D22182"/>
    <w:rsid w:val="00D30344"/>
    <w:rsid w:val="00D374B6"/>
    <w:rsid w:val="00D4261E"/>
    <w:rsid w:val="00D43725"/>
    <w:rsid w:val="00D6366E"/>
    <w:rsid w:val="00D92D95"/>
    <w:rsid w:val="00D95FC3"/>
    <w:rsid w:val="00E20624"/>
    <w:rsid w:val="00E24170"/>
    <w:rsid w:val="00E25CCE"/>
    <w:rsid w:val="00E33C8A"/>
    <w:rsid w:val="00E53F66"/>
    <w:rsid w:val="00E63F37"/>
    <w:rsid w:val="00E8211C"/>
    <w:rsid w:val="00E902C9"/>
    <w:rsid w:val="00EB4651"/>
    <w:rsid w:val="00EB75A5"/>
    <w:rsid w:val="00EC49C3"/>
    <w:rsid w:val="00EF24CB"/>
    <w:rsid w:val="00F176A1"/>
    <w:rsid w:val="00F261E6"/>
    <w:rsid w:val="00F30AB3"/>
    <w:rsid w:val="00F45FF0"/>
    <w:rsid w:val="00F86F8A"/>
    <w:rsid w:val="00FB1A21"/>
    <w:rsid w:val="00FB1D23"/>
    <w:rsid w:val="00FB792C"/>
    <w:rsid w:val="00FD2400"/>
    <w:rsid w:val="00FD32F9"/>
    <w:rsid w:val="00FE2F04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C0225C-A005-4AB0-B8F6-19F0EC34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2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38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B23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687D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87DD3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B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2B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2B04"/>
    <w:rPr>
      <w:sz w:val="18"/>
      <w:szCs w:val="18"/>
    </w:rPr>
  </w:style>
  <w:style w:type="character" w:styleId="a6">
    <w:name w:val="Hyperlink"/>
    <w:basedOn w:val="a0"/>
    <w:uiPriority w:val="99"/>
    <w:unhideWhenUsed/>
    <w:rsid w:val="00766D2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A638B3"/>
    <w:rPr>
      <w:b/>
      <w:bCs/>
      <w:kern w:val="44"/>
      <w:sz w:val="44"/>
      <w:szCs w:val="44"/>
    </w:rPr>
  </w:style>
  <w:style w:type="character" w:styleId="a7">
    <w:name w:val="FollowedHyperlink"/>
    <w:basedOn w:val="a0"/>
    <w:uiPriority w:val="99"/>
    <w:semiHidden/>
    <w:unhideWhenUsed/>
    <w:rsid w:val="00A638B3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534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341D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26032;&#24314;&#25991;&#20214;&#22841;\&#30805;&#22763;&#38454;&#27573;\&#30740;1\2017&#24180;&#26149;&#35838;&#31243;\&#21161;&#29702;&#23703;&#20301;\17.5.25\&#39292;&#22270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4895478852698"/>
          <c:y val="6.4432989690721643E-2"/>
          <c:w val="0.7010209042294604"/>
          <c:h val="0.92912371134020622"/>
        </c:manualLayout>
      </c:layout>
      <c:pieChart>
        <c:varyColors val="1"/>
        <c:ser>
          <c:idx val="0"/>
          <c:order val="0"/>
          <c:tx>
            <c:strRef>
              <c:f>Sheet1!$A$3:$A$15</c:f>
              <c:strCache>
                <c:ptCount val="13"/>
                <c:pt idx="0">
                  <c:v>行业前沿</c:v>
                </c:pt>
                <c:pt idx="1">
                  <c:v>创新创业</c:v>
                </c:pt>
                <c:pt idx="2">
                  <c:v>领导力</c:v>
                </c:pt>
                <c:pt idx="3">
                  <c:v>职业伦理</c:v>
                </c:pt>
                <c:pt idx="4">
                  <c:v>法治素养</c:v>
                </c:pt>
                <c:pt idx="5">
                  <c:v>大数据思维</c:v>
                </c:pt>
                <c:pt idx="6">
                  <c:v>设计思维</c:v>
                </c:pt>
                <c:pt idx="7">
                  <c:v>心理素质</c:v>
                </c:pt>
                <c:pt idx="8">
                  <c:v>学术前沿</c:v>
                </c:pt>
                <c:pt idx="9">
                  <c:v>论文写作</c:v>
                </c:pt>
                <c:pt idx="10">
                  <c:v>学术规范</c:v>
                </c:pt>
                <c:pt idx="11">
                  <c:v>人文社科</c:v>
                </c:pt>
                <c:pt idx="12">
                  <c:v>综合讲座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rgbClr val="66FF99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FF99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6FF6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99FF6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00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33CC3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0099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rgbClr val="6699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rgbClr val="0099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rgbClr val="33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explosion val="9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4.9061461067366578E-2"/>
                  <c:y val="7.8763487897346149E-2"/>
                </c:manualLayout>
              </c:layout>
              <c:spPr>
                <a:solidFill>
                  <a:srgbClr val="9CF995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rgbClr val="9CF995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rgbClr val="9CF995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rgbClr val="9CF995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solidFill>
                  <a:srgbClr val="9CF995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spPr>
                <a:solidFill>
                  <a:srgbClr val="9CF995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7.6747000984963759E-2"/>
                  <c:y val="-0.10520545986837306"/>
                </c:manualLayout>
              </c:layout>
              <c:spPr>
                <a:solidFill>
                  <a:srgbClr val="9CF995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5864120564105298E-2"/>
                  <c:y val="-4.9226653818515979E-2"/>
                </c:manualLayout>
              </c:layout>
              <c:spPr>
                <a:solidFill>
                  <a:srgbClr val="9CF995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0.11047762196753605"/>
                  <c:y val="0.1331391906283646"/>
                </c:manualLayout>
              </c:layout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1.3888623061640874E-3"/>
                  <c:y val="1.1300252658495005E-2"/>
                </c:manualLayout>
              </c:layout>
              <c:spPr>
                <a:solidFill>
                  <a:srgbClr val="FFFF00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flowChartAlternateProcess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1931430446194226"/>
                      <c:h val="0.19133019830854475"/>
                    </c:manualLayout>
                  </c15:layout>
                </c:ext>
              </c:extLst>
            </c:dLbl>
            <c:spPr>
              <a:solidFill>
                <a:schemeClr val="bg2">
                  <a:lumMod val="90000"/>
                </a:scheme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Sheet1!$A$3:$A$15</c:f>
              <c:strCache>
                <c:ptCount val="13"/>
                <c:pt idx="0">
                  <c:v>行业前沿</c:v>
                </c:pt>
                <c:pt idx="1">
                  <c:v>创新创业</c:v>
                </c:pt>
                <c:pt idx="2">
                  <c:v>领导力</c:v>
                </c:pt>
                <c:pt idx="3">
                  <c:v>职业伦理</c:v>
                </c:pt>
                <c:pt idx="4">
                  <c:v>法治素养</c:v>
                </c:pt>
                <c:pt idx="5">
                  <c:v>大数据思维</c:v>
                </c:pt>
                <c:pt idx="6">
                  <c:v>设计思维</c:v>
                </c:pt>
                <c:pt idx="7">
                  <c:v>心理素质</c:v>
                </c:pt>
                <c:pt idx="8">
                  <c:v>学术前沿</c:v>
                </c:pt>
                <c:pt idx="9">
                  <c:v>论文写作</c:v>
                </c:pt>
                <c:pt idx="10">
                  <c:v>学术规范</c:v>
                </c:pt>
                <c:pt idx="11">
                  <c:v>人文社科</c:v>
                </c:pt>
                <c:pt idx="12">
                  <c:v>综合讲座</c:v>
                </c:pt>
              </c:strCache>
            </c:strRef>
          </c:cat>
          <c:val>
            <c:numRef>
              <c:f>Sheet1!$B$3:$B$15</c:f>
              <c:numCache>
                <c:formatCode>General</c:formatCode>
                <c:ptCount val="13"/>
                <c:pt idx="0">
                  <c:v>5.6250000000000001E-2</c:v>
                </c:pt>
                <c:pt idx="1">
                  <c:v>5.6250000000000001E-2</c:v>
                </c:pt>
                <c:pt idx="2">
                  <c:v>5.6250000000000001E-2</c:v>
                </c:pt>
                <c:pt idx="3">
                  <c:v>5.6250000000000001E-2</c:v>
                </c:pt>
                <c:pt idx="4">
                  <c:v>5.6250000000000001E-2</c:v>
                </c:pt>
                <c:pt idx="5">
                  <c:v>5.6250000000000001E-2</c:v>
                </c:pt>
                <c:pt idx="6">
                  <c:v>5.6250000000000001E-2</c:v>
                </c:pt>
                <c:pt idx="7">
                  <c:v>5.6250000000000001E-2</c:v>
                </c:pt>
                <c:pt idx="8">
                  <c:v>0.1125</c:v>
                </c:pt>
                <c:pt idx="9">
                  <c:v>0.1125</c:v>
                </c:pt>
                <c:pt idx="10">
                  <c:v>0.1125</c:v>
                </c:pt>
                <c:pt idx="11">
                  <c:v>0.1125</c:v>
                </c:pt>
                <c:pt idx="12" formatCode="0%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8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0.04203</cdr:x>
      <cdr:y>0.42805</cdr:y>
    </cdr:from>
    <cdr:to>
      <cdr:x>0.16912</cdr:x>
      <cdr:y>0.62596</cdr:y>
    </cdr:to>
    <cdr:sp macro="" textlink="">
      <cdr:nvSpPr>
        <cdr:cNvPr id="2" name="文本框 1"/>
        <cdr:cNvSpPr txBox="1"/>
      </cdr:nvSpPr>
      <cdr:spPr>
        <a:xfrm xmlns:a="http://schemas.openxmlformats.org/drawingml/2006/main">
          <a:off x="219574" y="1687426"/>
          <a:ext cx="664017" cy="780177"/>
        </a:xfrm>
        <a:prstGeom xmlns:a="http://schemas.openxmlformats.org/drawingml/2006/main" prst="flowChartAlternateProcess">
          <a:avLst/>
        </a:prstGeom>
        <a:solidFill xmlns:a="http://schemas.openxmlformats.org/drawingml/2006/main">
          <a:schemeClr val="accent1">
            <a:lumMod val="40000"/>
            <a:lumOff val="60000"/>
          </a:schemeClr>
        </a:solidFill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zh-CN" altLang="en-US" sz="1400"/>
            <a:t>学术素养</a:t>
          </a:r>
        </a:p>
      </cdr:txBody>
    </cdr:sp>
  </cdr:relSizeAnchor>
  <cdr:relSizeAnchor xmlns:cdr="http://schemas.openxmlformats.org/drawingml/2006/chartDrawing">
    <cdr:from>
      <cdr:x>0.84164</cdr:x>
      <cdr:y>0.41422</cdr:y>
    </cdr:from>
    <cdr:to>
      <cdr:x>0.96872</cdr:x>
      <cdr:y>0.61215</cdr:y>
    </cdr:to>
    <cdr:sp macro="" textlink="">
      <cdr:nvSpPr>
        <cdr:cNvPr id="3" name="文本框 1"/>
        <cdr:cNvSpPr txBox="1"/>
      </cdr:nvSpPr>
      <cdr:spPr>
        <a:xfrm xmlns:a="http://schemas.openxmlformats.org/drawingml/2006/main">
          <a:off x="4397392" y="1632908"/>
          <a:ext cx="663965" cy="780217"/>
        </a:xfrm>
        <a:prstGeom xmlns:a="http://schemas.openxmlformats.org/drawingml/2006/main" prst="flowChartAlternateProcess">
          <a:avLst/>
        </a:prstGeom>
        <a:solidFill xmlns:a="http://schemas.openxmlformats.org/drawingml/2006/main">
          <a:srgbClr val="92D050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zh-CN" altLang="en-US" sz="1400"/>
            <a:t>职业素养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36E4-C663-4DBC-8BEB-1079A03B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69</Pages>
  <Words>10220</Words>
  <Characters>58260</Characters>
  <Application>Microsoft Office Word</Application>
  <DocSecurity>0</DocSecurity>
  <Lines>485</Lines>
  <Paragraphs>136</Paragraphs>
  <ScaleCrop>false</ScaleCrop>
  <Company/>
  <LinksUpToDate>false</LinksUpToDate>
  <CharactersWithSpaces>68344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wangyu</cp:lastModifiedBy>
  <cp:revision>7</cp:revision>
  <cp:lastPrinted>2017-05-26T02:15:00Z</cp:lastPrinted>
  <dcterms:created xsi:type="dcterms:W3CDTF">2017-05-31T00:32:00Z</dcterms:created>
  <dcterms:modified xsi:type="dcterms:W3CDTF">2017-05-31T05:54:00Z</dcterms:modified>
</cp:coreProperties>
</file>